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D684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1C29F7" w:rsidRDefault="000D1902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C29F7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847343" w:rsidRPr="001C29F7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ЗЕРБАЙДЖАН</w:t>
      </w:r>
      <w:r w:rsidR="004F3CAE" w:rsidRPr="001C29F7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+ ГРУЗИЯ</w:t>
      </w:r>
    </w:p>
    <w:p w:rsidR="0015052E" w:rsidRPr="005F207D" w:rsidRDefault="00D0436A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Сокровища Кавказа</w:t>
      </w:r>
    </w:p>
    <w:p w:rsidR="00445494" w:rsidRPr="001C29F7" w:rsidRDefault="00847343" w:rsidP="00BA40DA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C29F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Баку</w:t>
      </w:r>
      <w:r w:rsidR="00141A2D" w:rsidRPr="001C29F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A26E66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718EB" w:rsidRPr="001C29F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</w:p>
    <w:p w:rsidR="0015052E" w:rsidRPr="001F5DCF" w:rsidRDefault="005F207D" w:rsidP="00BA40DA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</w:t>
      </w:r>
      <w:proofErr w:type="spellEnd"/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1F5DCF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1F5DCF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 w:rsidR="001F5DC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C6F99" w:rsidRPr="00B24536" w:rsidRDefault="008B01FD" w:rsidP="00B86E38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B24536" w:rsidRPr="00B24536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B24536" w:rsidRPr="00B24536">
        <w:rPr>
          <w:rFonts w:ascii="Century Gothic" w:eastAsia="KaiTi_GB2312" w:hAnsi="Century Gothic"/>
          <w:b/>
          <w:lang w:val="ru-RU"/>
        </w:rPr>
        <w:t>9</w:t>
      </w:r>
      <w:r w:rsidR="002069B0">
        <w:rPr>
          <w:rFonts w:ascii="Century Gothic" w:eastAsia="KaiTi_GB2312" w:hAnsi="Century Gothic"/>
          <w:b/>
          <w:lang w:val="ru-RU"/>
        </w:rPr>
        <w:t xml:space="preserve"> – 3</w:t>
      </w:r>
      <w:r w:rsidR="002069B0" w:rsidRPr="002069B0">
        <w:rPr>
          <w:rFonts w:ascii="Century Gothic" w:eastAsia="KaiTi_GB2312" w:hAnsi="Century Gothic"/>
          <w:b/>
          <w:lang w:val="ru-RU"/>
        </w:rPr>
        <w:t>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B24536" w:rsidRPr="00B24536">
        <w:rPr>
          <w:rFonts w:ascii="Century Gothic" w:eastAsia="KaiTi_GB2312" w:hAnsi="Century Gothic"/>
          <w:b/>
          <w:lang w:val="ru-RU"/>
        </w:rPr>
        <w:t>9</w:t>
      </w:r>
    </w:p>
    <w:p w:rsidR="0015052E" w:rsidRPr="00B24536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B86E38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84734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TA</w:t>
      </w:r>
      <w:r w:rsidR="00FA4C22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5F207D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09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547C5A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8857EE" w:rsidRPr="008D0F33" w:rsidTr="00547C5A">
        <w:tc>
          <w:tcPr>
            <w:tcW w:w="1662" w:type="dxa"/>
            <w:shd w:val="clear" w:color="auto" w:fill="auto"/>
            <w:vAlign w:val="center"/>
          </w:tcPr>
          <w:p w:rsidR="00276D39" w:rsidRPr="00135D7E" w:rsidRDefault="00276D39" w:rsidP="00276D3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8857EE" w:rsidRPr="00135D7E" w:rsidRDefault="00D066E2" w:rsidP="00276D3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276D39" w:rsidRPr="00276D39" w:rsidRDefault="00B86E38" w:rsidP="00276D3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</w:t>
            </w:r>
            <w:r w:rsidR="00276D39">
              <w:rPr>
                <w:rFonts w:ascii="Century Gothic" w:hAnsi="Century Gothic"/>
                <w:sz w:val="20"/>
                <w:lang w:val="ru-RU"/>
              </w:rPr>
              <w:t xml:space="preserve"> экскурсионный тур в А</w:t>
            </w:r>
            <w:r w:rsidR="00D066E2">
              <w:rPr>
                <w:rFonts w:ascii="Century Gothic" w:hAnsi="Century Gothic"/>
                <w:sz w:val="20"/>
                <w:lang w:val="ru-RU"/>
              </w:rPr>
              <w:t>зербайджан</w:t>
            </w:r>
            <w:r w:rsidR="00276D39" w:rsidRPr="004555A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414544">
              <w:rPr>
                <w:rFonts w:ascii="Century Gothic" w:hAnsi="Century Gothic"/>
                <w:sz w:val="20"/>
                <w:lang w:val="ru-RU"/>
              </w:rPr>
              <w:t xml:space="preserve">и Грузию </w:t>
            </w:r>
            <w:r w:rsidR="00276D39" w:rsidRPr="004555A3">
              <w:rPr>
                <w:rFonts w:ascii="Century Gothic" w:hAnsi="Century Gothic"/>
                <w:sz w:val="20"/>
                <w:lang w:val="ru-RU"/>
              </w:rPr>
              <w:t xml:space="preserve">начинается с прибытия в </w:t>
            </w:r>
            <w:r w:rsidR="00D066E2"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 w:rsidR="00276D39"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76D39" w:rsidRPr="004555A3" w:rsidRDefault="00276D39" w:rsidP="00276D3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столица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Азербайджана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самый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крупный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порт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Каспийском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море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самый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большой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город на Кавказе, известный своими нефтяными месторождениями. По своей древности, величине территории и численности населения </w:t>
            </w:r>
            <w:r w:rsidRPr="00342AB5">
              <w:rPr>
                <w:rFonts w:ascii="Century Gothic" w:hAnsi="Century Gothic"/>
                <w:sz w:val="20"/>
                <w:lang w:val="ru-RU"/>
              </w:rPr>
              <w:t xml:space="preserve">Баку является одним из старинных и крупнейших городов Востока.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342AB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ухитряется в ускоренном режиме приобретать модерновый облик, не теряя при этом шарма древнего города, бережно хранящего наследие старины.</w:t>
            </w:r>
          </w:p>
          <w:p w:rsidR="00275BA2" w:rsidRDefault="00275BA2" w:rsidP="00275BA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75BA2"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D066E2" w:rsidRPr="00276D39" w:rsidRDefault="001E505E" w:rsidP="00276D3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E505E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414544" w:rsidRPr="008D0F33" w:rsidTr="00547C5A">
        <w:tc>
          <w:tcPr>
            <w:tcW w:w="1662" w:type="dxa"/>
            <w:shd w:val="clear" w:color="auto" w:fill="auto"/>
            <w:vAlign w:val="center"/>
          </w:tcPr>
          <w:p w:rsidR="00414544" w:rsidRPr="00135D7E" w:rsidRDefault="00414544" w:rsidP="0041454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14544" w:rsidRDefault="00414544" w:rsidP="00414544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  <w:p w:rsidR="00414544" w:rsidRPr="00135D7E" w:rsidRDefault="00414544" w:rsidP="0041454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C555AA" w:rsidRPr="003B3982" w:rsidRDefault="00C555AA" w:rsidP="00C555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C555AA" w:rsidRDefault="00C555AA" w:rsidP="00C555A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1A205A" w:rsidRP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Девичью Башню (</w:t>
            </w:r>
            <w:proofErr w:type="spellStart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Гыз</w:t>
            </w:r>
            <w:proofErr w:type="spellEnd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Галасы</w:t>
            </w:r>
            <w:proofErr w:type="spellEnd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одну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 xml:space="preserve"> из самых известных и самых загадочных достопримечательностей </w:t>
            </w:r>
            <w:r w:rsidRPr="0039115A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>Башня уникальна в своем роде, так как не имеет аналогов на Востоке. Ее неповторимая форма до сих пор вызывает множество догадок и споров.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1964 году 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>Девичья башня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стала музеем, а в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 xml:space="preserve"> 2000 году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 xml:space="preserve"> была включена в список памятников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</w:t>
            </w:r>
            <w:r w:rsidRPr="00207DF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ворец Ширваншахов</w:t>
            </w:r>
            <w:r w:rsidRPr="0054611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546113">
              <w:rPr>
                <w:rFonts w:ascii="Century Gothic" w:hAnsi="Century Gothic"/>
                <w:sz w:val="20"/>
                <w:lang w:val="ru-RU"/>
              </w:rPr>
              <w:t xml:space="preserve"> один из крупнейших памятников азербайджанского зодчества, построенный правителями Ширвана </w:t>
            </w:r>
            <w:r>
              <w:rPr>
                <w:rFonts w:ascii="Century Gothic" w:hAnsi="Century Gothic"/>
                <w:sz w:val="20"/>
                <w:lang w:val="ru-RU"/>
              </w:rPr>
              <w:t>в 15 веке</w:t>
            </w:r>
            <w:r w:rsidRPr="00546113">
              <w:rPr>
                <w:rFonts w:ascii="Century Gothic" w:hAnsi="Century Gothic"/>
                <w:sz w:val="20"/>
                <w:lang w:val="ru-RU"/>
              </w:rPr>
              <w:t>. Сегодня территория дворцового комплекса находится под охраной и признана историко-архитектурным музеем-заповедником. С 2000 года дворец включен в спис</w:t>
            </w:r>
            <w:r>
              <w:rPr>
                <w:rFonts w:ascii="Century Gothic" w:hAnsi="Century Gothic"/>
                <w:sz w:val="20"/>
                <w:lang w:val="ru-RU"/>
              </w:rPr>
              <w:t>ок Всемирного наследия ЮНЕСКО;</w:t>
            </w:r>
          </w:p>
          <w:p w:rsidR="001A205A" w:rsidRP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105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мечеть Мухаммеда (</w:t>
            </w:r>
            <w:proofErr w:type="spellStart"/>
            <w:r w:rsidRPr="000105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Сынык</w:t>
            </w:r>
            <w:proofErr w:type="spellEnd"/>
            <w:r w:rsidRPr="000105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-кала мечеть)</w:t>
            </w:r>
            <w:r w:rsidRPr="00D50D7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D50D70">
              <w:rPr>
                <w:rFonts w:ascii="Century Gothic" w:hAnsi="Century Gothic"/>
                <w:sz w:val="20"/>
                <w:lang w:val="ru-RU"/>
              </w:rPr>
              <w:t>двухъярусн</w:t>
            </w:r>
            <w:r>
              <w:rPr>
                <w:rFonts w:ascii="Century Gothic" w:hAnsi="Century Gothic"/>
                <w:sz w:val="20"/>
                <w:lang w:val="ru-RU"/>
              </w:rPr>
              <w:t>ую постройку, которая</w:t>
            </w:r>
            <w:r w:rsidRPr="006140A4">
              <w:rPr>
                <w:rFonts w:ascii="Century Gothic" w:hAnsi="Century Gothic"/>
                <w:sz w:val="20"/>
                <w:lang w:val="ru-RU"/>
              </w:rPr>
              <w:t xml:space="preserve"> считается первым исламским сооружением на территории Азербайджана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BD484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Джума мечеть (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Пятничную, или Соборную</w:t>
            </w:r>
            <w:r w:rsidRPr="00BD484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мечеть)</w:t>
            </w:r>
            <w:r w:rsidRPr="00876A2D">
              <w:rPr>
                <w:rFonts w:ascii="Century Gothic" w:hAnsi="Century Gothic"/>
                <w:sz w:val="20"/>
                <w:lang w:val="ru-RU"/>
              </w:rPr>
              <w:t>,</w:t>
            </w:r>
            <w:r w:rsidRPr="00BD484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ную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 xml:space="preserve"> в старом городе в соответствии со всеми мусульманскими канонами и обычаями,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экзотические арки и ворота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которой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инкрустированы тончайшей резьбой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 xml:space="preserve">Именно на фоне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Джума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мечет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снимались некоторые сцены популярной в наро</w:t>
            </w:r>
            <w:r>
              <w:rPr>
                <w:rFonts w:ascii="Century Gothic" w:hAnsi="Century Gothic"/>
                <w:sz w:val="20"/>
                <w:lang w:val="ru-RU"/>
              </w:rPr>
              <w:t>де комедии «Бриллиантовая рука»;</w:t>
            </w:r>
          </w:p>
          <w:p w:rsidR="001A205A" w:rsidRP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8954B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Приморский бульвар</w:t>
            </w:r>
            <w:r>
              <w:rPr>
                <w:rFonts w:ascii="Century Gothic" w:hAnsi="Century Gothic"/>
                <w:sz w:val="20"/>
                <w:lang w:val="ru-RU"/>
              </w:rPr>
              <w:t>, который на</w:t>
            </w:r>
            <w:r w:rsidRPr="0076170D">
              <w:rPr>
                <w:rFonts w:ascii="Century Gothic" w:hAnsi="Century Gothic"/>
                <w:sz w:val="20"/>
                <w:lang w:val="ru-RU"/>
              </w:rPr>
              <w:t xml:space="preserve"> 16 километров протянулся вдоль живописного побережья Каспийско</w:t>
            </w:r>
            <w:r>
              <w:rPr>
                <w:rFonts w:ascii="Century Gothic" w:hAnsi="Century Gothic"/>
                <w:sz w:val="20"/>
                <w:lang w:val="ru-RU"/>
              </w:rPr>
              <w:t>го моря. Он</w:t>
            </w:r>
            <w:r w:rsidRPr="0076170D">
              <w:rPr>
                <w:rFonts w:ascii="Century Gothic" w:hAnsi="Century Gothic"/>
                <w:sz w:val="20"/>
                <w:lang w:val="ru-RU"/>
              </w:rPr>
              <w:t xml:space="preserve"> может похваста</w:t>
            </w:r>
            <w:r>
              <w:rPr>
                <w:rFonts w:ascii="Century Gothic" w:hAnsi="Century Gothic"/>
                <w:sz w:val="20"/>
                <w:lang w:val="ru-RU"/>
              </w:rPr>
              <w:t>ть более чем столетней историей</w:t>
            </w:r>
            <w:r w:rsidRPr="0076170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и массой достопримечательностей;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9B519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лощадь государственного флага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B519B">
              <w:rPr>
                <w:rFonts w:ascii="Century Gothic" w:hAnsi="Century Gothic"/>
                <w:sz w:val="20"/>
                <w:lang w:val="ru-RU"/>
              </w:rPr>
              <w:t>– очень молод</w:t>
            </w:r>
            <w:r>
              <w:rPr>
                <w:rFonts w:ascii="Century Gothic" w:hAnsi="Century Gothic"/>
                <w:sz w:val="20"/>
                <w:lang w:val="ru-RU"/>
              </w:rPr>
              <w:t>ую и очень важную</w:t>
            </w:r>
            <w:r w:rsidRPr="009B519B">
              <w:rPr>
                <w:rFonts w:ascii="Century Gothic" w:hAnsi="Century Gothic"/>
                <w:sz w:val="20"/>
                <w:lang w:val="ru-RU"/>
              </w:rPr>
              <w:t xml:space="preserve"> достопримечательность города. </w:t>
            </w:r>
            <w:r>
              <w:rPr>
                <w:rFonts w:ascii="Century Gothic" w:hAnsi="Century Gothic"/>
                <w:sz w:val="20"/>
                <w:lang w:val="ru-RU"/>
              </w:rPr>
              <w:t>Здесь</w:t>
            </w:r>
            <w:r w:rsidRPr="009B519B">
              <w:rPr>
                <w:rFonts w:ascii="Century Gothic" w:hAnsi="Century Gothic"/>
                <w:sz w:val="20"/>
                <w:lang w:val="ru-RU"/>
              </w:rPr>
              <w:t xml:space="preserve"> находится государственный флаг Азербайджана. Торжественное открытие площади состоялось 1 сентября 2010 года, и она сразу же попала в Книгу рекордов Гиннеса за самый высокий в мире флагшток – 162 метра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P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74C0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Музей ковра</w:t>
            </w:r>
            <w:r w:rsidRPr="00293444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первый в мире </w:t>
            </w:r>
            <w:r w:rsidRPr="00474C04">
              <w:rPr>
                <w:rFonts w:ascii="Century Gothic" w:hAnsi="Century Gothic"/>
                <w:sz w:val="20"/>
                <w:lang w:val="ru-RU"/>
              </w:rPr>
              <w:t>музе</w:t>
            </w:r>
            <w:r>
              <w:rPr>
                <w:rFonts w:ascii="Century Gothic" w:hAnsi="Century Gothic"/>
                <w:sz w:val="20"/>
                <w:lang w:val="ru-RU"/>
              </w:rPr>
              <w:t>й,</w:t>
            </w:r>
            <w:r w:rsidRPr="00474C0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посвяще</w:t>
            </w:r>
            <w:r w:rsidRPr="00474C04">
              <w:rPr>
                <w:rFonts w:ascii="Century Gothic" w:hAnsi="Century Gothic"/>
                <w:sz w:val="20"/>
                <w:lang w:val="ru-RU"/>
              </w:rPr>
              <w:t>нный сб</w:t>
            </w:r>
            <w:r>
              <w:rPr>
                <w:rFonts w:ascii="Century Gothic" w:hAnsi="Century Gothic"/>
                <w:sz w:val="20"/>
                <w:lang w:val="ru-RU"/>
              </w:rPr>
              <w:t>ору, сохранению и изучению ковров;</w:t>
            </w:r>
          </w:p>
          <w:p w:rsidR="001A205A" w:rsidRP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6105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комплекс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Пламенные Б</w:t>
            </w:r>
            <w:r w:rsidRPr="00C6105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ашни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C61051">
              <w:rPr>
                <w:rFonts w:ascii="Century Gothic" w:hAnsi="Century Gothic"/>
                <w:sz w:val="20"/>
                <w:lang w:val="ru-RU"/>
              </w:rPr>
              <w:t>ультрасовременный архитектурный комплекс, состоящий из трех гигантских зданий. Функционально в Пламенных Башнях расположены отель, офисные помещения и жилые квартиры.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</w:t>
            </w:r>
            <w:r w:rsidRPr="00C61051">
              <w:rPr>
                <w:rFonts w:ascii="Century Gothic" w:hAnsi="Century Gothic"/>
                <w:sz w:val="20"/>
                <w:lang w:val="ru-RU"/>
              </w:rPr>
              <w:t xml:space="preserve">нешний вид и смысл этих башен связан с гербом города </w:t>
            </w:r>
            <w:r w:rsidRPr="00293444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C61051">
              <w:rPr>
                <w:rFonts w:ascii="Century Gothic" w:hAnsi="Century Gothic"/>
                <w:sz w:val="20"/>
                <w:lang w:val="ru-RU"/>
              </w:rPr>
              <w:t>, на которо</w:t>
            </w:r>
            <w:r>
              <w:rPr>
                <w:rFonts w:ascii="Century Gothic" w:hAnsi="Century Gothic"/>
                <w:sz w:val="20"/>
                <w:lang w:val="ru-RU"/>
              </w:rPr>
              <w:t>м изображены три языка пламени</w:t>
            </w:r>
            <w:r w:rsidRPr="001A205A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14544" w:rsidRDefault="00C555AA" w:rsidP="0041454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97B0B">
              <w:rPr>
                <w:rFonts w:ascii="Century Gothic" w:hAnsi="Century Gothic"/>
                <w:sz w:val="20"/>
                <w:lang w:val="ru-RU"/>
              </w:rPr>
              <w:t>Ночь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отеле.</w:t>
            </w:r>
          </w:p>
        </w:tc>
      </w:tr>
      <w:tr w:rsidR="00414544" w:rsidRPr="008D0F33" w:rsidTr="00547C5A">
        <w:tc>
          <w:tcPr>
            <w:tcW w:w="1662" w:type="dxa"/>
            <w:shd w:val="clear" w:color="auto" w:fill="auto"/>
            <w:vAlign w:val="center"/>
          </w:tcPr>
          <w:p w:rsidR="00C555AA" w:rsidRPr="00135D7E" w:rsidRDefault="00C555AA" w:rsidP="00C555A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782B" w:rsidRPr="0003782B" w:rsidRDefault="00C555AA" w:rsidP="000F33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14544" w:rsidRDefault="00975F50" w:rsidP="00276D3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F33BC" w:rsidRDefault="000F33BC" w:rsidP="00276D3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1A205A" w:rsidRDefault="000F33BC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F33BC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</w:t>
            </w:r>
            <w:r w:rsidR="00975F50">
              <w:rPr>
                <w:rFonts w:ascii="Century Gothic" w:hAnsi="Century Gothic"/>
                <w:sz w:val="20"/>
                <w:lang w:val="ru-RU"/>
              </w:rPr>
              <w:t xml:space="preserve">экскурсия </w:t>
            </w:r>
            <w:r w:rsidR="00975F50" w:rsidRPr="0086270E">
              <w:rPr>
                <w:rFonts w:ascii="Century Gothic" w:hAnsi="Century Gothic"/>
                <w:sz w:val="20"/>
                <w:lang w:val="ru-RU"/>
              </w:rPr>
              <w:t xml:space="preserve">на </w:t>
            </w:r>
            <w:r w:rsidR="001A205A" w:rsidRPr="00E906BC">
              <w:rPr>
                <w:rFonts w:ascii="Century Gothic" w:hAnsi="Century Gothic"/>
                <w:b/>
                <w:sz w:val="20"/>
                <w:lang w:val="ru-RU"/>
              </w:rPr>
              <w:t>Апшеронский полуостров</w:t>
            </w:r>
            <w:r w:rsidR="001A205A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1A205A" w:rsidRPr="000E29C9">
              <w:rPr>
                <w:rFonts w:ascii="Century Gothic" w:hAnsi="Century Gothic"/>
                <w:sz w:val="20"/>
                <w:lang w:val="ru-RU"/>
              </w:rPr>
              <w:t>самый большой полуостров в Азербайджане, находящийся на западном побережье Каспийского моря</w:t>
            </w:r>
            <w:r w:rsidR="001A205A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1A205A" w:rsidRPr="000E29C9">
              <w:rPr>
                <w:rFonts w:ascii="Century Gothic" w:hAnsi="Century Gothic"/>
                <w:sz w:val="20"/>
                <w:lang w:val="ru-RU"/>
              </w:rPr>
              <w:t xml:space="preserve">На территории полуострова </w:t>
            </w:r>
            <w:r w:rsidR="001A205A">
              <w:rPr>
                <w:rFonts w:ascii="Century Gothic" w:hAnsi="Century Gothic"/>
                <w:sz w:val="20"/>
                <w:lang w:val="ru-RU"/>
              </w:rPr>
              <w:t xml:space="preserve">находится </w:t>
            </w:r>
            <w:r w:rsidR="001A205A" w:rsidRPr="000E29C9">
              <w:rPr>
                <w:rFonts w:ascii="Century Gothic" w:hAnsi="Century Gothic"/>
                <w:sz w:val="20"/>
                <w:lang w:val="ru-RU"/>
              </w:rPr>
              <w:t>много исторических и архитектурных памятников</w:t>
            </w:r>
            <w:r w:rsidR="001A205A">
              <w:rPr>
                <w:rFonts w:ascii="Century Gothic" w:hAnsi="Century Gothic"/>
                <w:sz w:val="20"/>
                <w:lang w:val="ru-RU"/>
              </w:rPr>
              <w:t>, среди которых Вы посетите: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E569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7E569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Атешгях</w:t>
            </w:r>
            <w:proofErr w:type="spellEnd"/>
            <w:r w:rsidRPr="006F77A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храм 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>огнепоклонников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>, которые прибыли сюда полт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ора 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>тысячелетия наз</w:t>
            </w:r>
            <w:r>
              <w:rPr>
                <w:rFonts w:ascii="Century Gothic" w:hAnsi="Century Gothic"/>
                <w:sz w:val="20"/>
                <w:lang w:val="ru-RU"/>
              </w:rPr>
              <w:t>ад из Индии и жили вплоть до 19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 xml:space="preserve"> века</w:t>
            </w:r>
            <w:r>
              <w:rPr>
                <w:rFonts w:ascii="Century Gothic" w:hAnsi="Century Gothic"/>
                <w:sz w:val="20"/>
                <w:lang w:val="ru-RU"/>
              </w:rPr>
              <w:t>. Храм н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 xml:space="preserve">аходится </w:t>
            </w:r>
            <w:r>
              <w:rPr>
                <w:rFonts w:ascii="Century Gothic" w:hAnsi="Century Gothic"/>
                <w:sz w:val="20"/>
                <w:lang w:val="ru-RU"/>
              </w:rPr>
              <w:t>в месте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 xml:space="preserve"> из газоносных пластов выходил на поверхность природный газ. Объяснить этот феномен раньше не могли, поэтому пламени, вырывавшемуся из-под земли, приписывали божественное происхождение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FD113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Янардаг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«горящая гора», которая 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 xml:space="preserve">получила </w:t>
            </w:r>
            <w:r>
              <w:rPr>
                <w:rFonts w:ascii="Century Gothic" w:hAnsi="Century Gothic"/>
                <w:sz w:val="20"/>
                <w:lang w:val="ru-RU"/>
              </w:rPr>
              <w:t>свое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 xml:space="preserve"> название из-за выходящих из-под земли газов, которые в виде огня поднимаются над землей у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ее 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>подножия. Постоянный ветер придает языкам пламени причудливые формы и усиливает таинственность этого уникального природного явления.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 xml:space="preserve">Именно три языка огня с синим Каспийским морем стали символами </w:t>
            </w:r>
            <w:r w:rsidRPr="00840522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24536" w:rsidRPr="00B24536" w:rsidRDefault="00B24536" w:rsidP="0097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</w:t>
            </w:r>
            <w:r w:rsidRPr="00B24536">
              <w:rPr>
                <w:rFonts w:ascii="Century Gothic" w:hAnsi="Century Gothic"/>
                <w:sz w:val="20"/>
                <w:lang w:val="ru-RU"/>
              </w:rPr>
              <w:t xml:space="preserve">посещение </w:t>
            </w:r>
            <w:r w:rsidRPr="001C75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винного завода</w:t>
            </w:r>
            <w:r w:rsidRPr="00B24536">
              <w:rPr>
                <w:rFonts w:ascii="Century Gothic" w:hAnsi="Century Gothic"/>
                <w:sz w:val="20"/>
                <w:lang w:val="ru-RU"/>
              </w:rPr>
              <w:t>, дегустация 6 видов вина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B24536">
              <w:rPr>
                <w:rFonts w:ascii="Century Gothic" w:hAnsi="Century Gothic"/>
                <w:sz w:val="20"/>
                <w:lang w:val="ru-RU"/>
              </w:rPr>
              <w:t xml:space="preserve">+ сырная тарелка </w:t>
            </w:r>
            <w:r>
              <w:rPr>
                <w:rFonts w:ascii="Century Gothic" w:hAnsi="Century Gothic"/>
                <w:sz w:val="20"/>
                <w:lang w:val="ru-RU"/>
              </w:rPr>
              <w:t>(</w:t>
            </w:r>
            <w:r w:rsidRPr="00B24536">
              <w:rPr>
                <w:rFonts w:ascii="Century Gothic" w:hAnsi="Century Gothic"/>
                <w:sz w:val="20"/>
                <w:lang w:val="ru-RU"/>
              </w:rPr>
              <w:t>только при группе от 6 чел</w:t>
            </w:r>
            <w:r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975F50" w:rsidRPr="00975F50" w:rsidRDefault="00975F50" w:rsidP="0097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на ж/д вокзал и посадка на поезд до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555AA" w:rsidRDefault="00975F50" w:rsidP="00C555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поезде.</w:t>
            </w:r>
          </w:p>
        </w:tc>
      </w:tr>
      <w:tr w:rsidR="00975F50" w:rsidRPr="008D0F33" w:rsidTr="00547C5A">
        <w:tc>
          <w:tcPr>
            <w:tcW w:w="1662" w:type="dxa"/>
            <w:shd w:val="clear" w:color="auto" w:fill="auto"/>
            <w:vAlign w:val="center"/>
          </w:tcPr>
          <w:p w:rsidR="00975F50" w:rsidRPr="00135D7E" w:rsidRDefault="00975F50" w:rsidP="00975F50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060EF1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75F50" w:rsidRPr="00280A6A" w:rsidRDefault="00975F50" w:rsidP="00975F5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975F50" w:rsidRDefault="00975F50" w:rsidP="0097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столицу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плых серных источников (в переводе с грузинского «</w:t>
            </w:r>
            <w:proofErr w:type="spellStart"/>
            <w:r w:rsidRPr="002A0F50">
              <w:rPr>
                <w:rFonts w:ascii="Century Gothic" w:hAnsi="Century Gothic"/>
                <w:sz w:val="20"/>
                <w:lang w:val="ru-RU"/>
              </w:rPr>
              <w:t>тбили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город именовался Тифлис. </w:t>
            </w:r>
          </w:p>
          <w:p w:rsidR="000506E3" w:rsidRDefault="00975F50" w:rsidP="0097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Встреча на ж/д вокзале и трансфер в </w:t>
            </w:r>
            <w:r w:rsidR="000506E3">
              <w:rPr>
                <w:rFonts w:ascii="Century Gothic" w:hAnsi="Century Gothic"/>
                <w:sz w:val="20"/>
                <w:lang w:val="ru-RU"/>
              </w:rPr>
              <w:t>ресторан на завтрак (за дополнительную плату на месте).</w:t>
            </w:r>
          </w:p>
          <w:p w:rsidR="00975F50" w:rsidRDefault="000506E3" w:rsidP="0097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</w:t>
            </w:r>
            <w:r w:rsidR="00975F50">
              <w:rPr>
                <w:rFonts w:ascii="Century Gothic" w:hAnsi="Century Gothic"/>
                <w:sz w:val="20"/>
                <w:lang w:val="ru-RU"/>
              </w:rPr>
              <w:t xml:space="preserve">азмещение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отеле </w:t>
            </w:r>
            <w:r w:rsidR="00975F50">
              <w:rPr>
                <w:rFonts w:ascii="Century Gothic" w:hAnsi="Century Gothic"/>
                <w:sz w:val="20"/>
                <w:lang w:val="ru-RU"/>
              </w:rPr>
              <w:t>с 14:00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506E3" w:rsidRPr="005649E8" w:rsidRDefault="000506E3" w:rsidP="000506E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обзорная экскурсия по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1A205A" w:rsidRDefault="001A205A" w:rsidP="001A20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A205A" w:rsidRDefault="001A205A" w:rsidP="001A205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пешеходный мост на реке Кура,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 инициативе презид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ента Грузии Михаила Саакашвили.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>В конструкцию моста встроена любопытная система иллюминации: в вечернее и ночное время каждый час 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архитектора, «это сообщение –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гимн жизни </w:t>
            </w:r>
            <w:r>
              <w:rPr>
                <w:rFonts w:ascii="Century Gothic" w:hAnsi="Century Gothic"/>
                <w:sz w:val="20"/>
                <w:lang w:val="ru-RU"/>
              </w:rPr>
              <w:t>и мира между людьми и народами»;</w:t>
            </w:r>
          </w:p>
          <w:p w:rsidR="000506E3" w:rsidRDefault="000506E3" w:rsidP="000506E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392E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парк Рике</w:t>
            </w:r>
            <w:r w:rsidRPr="0013392E">
              <w:rPr>
                <w:rFonts w:ascii="Century Gothic" w:hAnsi="Century Gothic"/>
                <w:sz w:val="20"/>
                <w:lang w:val="ru-RU"/>
              </w:rPr>
              <w:t>, который является любимым местом о</w:t>
            </w:r>
            <w:r>
              <w:rPr>
                <w:rFonts w:ascii="Century Gothic" w:hAnsi="Century Gothic"/>
                <w:sz w:val="20"/>
                <w:lang w:val="ru-RU"/>
              </w:rPr>
              <w:t>тдыха тбилисцев и гостей города;</w:t>
            </w:r>
          </w:p>
          <w:p w:rsidR="001A205A" w:rsidRDefault="001A205A" w:rsidP="001A20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Сиони</w:t>
            </w:r>
            <w:proofErr w:type="spellEnd"/>
            <w:r w:rsidRPr="00C962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один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из самых известных памятников старого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На протяжении веков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 xml:space="preserve">храм </w:t>
            </w:r>
            <w:proofErr w:type="spellStart"/>
            <w:r w:rsidRPr="0086151F">
              <w:rPr>
                <w:rFonts w:ascii="Century Gothic" w:hAnsi="Century Gothic"/>
                <w:sz w:val="20"/>
                <w:lang w:val="ru-RU"/>
              </w:rPr>
              <w:t>Сиони</w:t>
            </w:r>
            <w:proofErr w:type="spellEnd"/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много раз подвергался разрушению, потом восстанавливался и переделывался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В интерьере храма сохранили</w:t>
            </w:r>
            <w:r>
              <w:rPr>
                <w:rFonts w:ascii="Century Gothic" w:hAnsi="Century Gothic"/>
                <w:sz w:val="20"/>
                <w:lang w:val="ru-RU"/>
              </w:rPr>
              <w:t>сь фрески русского художника Г.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Г. Гагарина. Первое место среди храмовых реликви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й занимает очень древний крест Св.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Нины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>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также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известен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своими чудотворными иконами;</w:t>
            </w:r>
          </w:p>
          <w:p w:rsidR="001A205A" w:rsidRDefault="001A205A" w:rsidP="001A20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источников;</w:t>
            </w:r>
          </w:p>
          <w:p w:rsidR="000506E3" w:rsidRDefault="000506E3" w:rsidP="00975F5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B2D1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</w:t>
            </w:r>
            <w:r w:rsidRPr="00EB2D1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жирное ущель</w:t>
            </w:r>
            <w:r w:rsidR="00660AE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</w:t>
            </w:r>
            <w:r w:rsidRPr="00EB2D13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Вы </w:t>
            </w:r>
            <w:r w:rsidRPr="00EB2D13">
              <w:rPr>
                <w:rFonts w:ascii="Century Gothic" w:hAnsi="Century Gothic"/>
                <w:sz w:val="20"/>
                <w:lang w:val="ru-RU"/>
              </w:rPr>
              <w:t>увидите водопад прямо в сердце города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75F50" w:rsidRPr="00883E13" w:rsidRDefault="00975F50" w:rsidP="00975F5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D05DB">
              <w:rPr>
                <w:rFonts w:ascii="Century Gothic" w:hAnsi="Century Gothic"/>
                <w:sz w:val="20"/>
                <w:lang w:val="ru-RU"/>
              </w:rPr>
              <w:t>Ночь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отеле.</w:t>
            </w:r>
          </w:p>
        </w:tc>
      </w:tr>
      <w:tr w:rsidR="00A26E66" w:rsidRPr="008D0F33" w:rsidTr="00547C5A">
        <w:tc>
          <w:tcPr>
            <w:tcW w:w="1662" w:type="dxa"/>
            <w:shd w:val="clear" w:color="auto" w:fill="auto"/>
            <w:vAlign w:val="center"/>
          </w:tcPr>
          <w:p w:rsidR="00A26E66" w:rsidRDefault="00A26E66" w:rsidP="00A26E66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 день</w:t>
            </w:r>
          </w:p>
          <w:p w:rsidR="00A26E66" w:rsidRPr="00280A6A" w:rsidRDefault="00A26E66" w:rsidP="00A26E66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26E66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A26E66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A26E66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942E0" w:rsidRPr="009942E0">
              <w:rPr>
                <w:rFonts w:ascii="Century Gothic" w:hAnsi="Century Gothic"/>
                <w:sz w:val="20"/>
                <w:lang w:val="ru-RU"/>
              </w:rPr>
              <w:t>(по желанию, за дополнительную плату):</w:t>
            </w:r>
            <w:r w:rsidR="009942E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lang w:val="ru-RU"/>
              </w:rPr>
              <w:t xml:space="preserve">экскурсия в восточную часть Грузии </w:t>
            </w:r>
            <w:r w:rsidRPr="00C8735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1A205A">
              <w:rPr>
                <w:rFonts w:ascii="Century Gothic" w:hAnsi="Century Gothic"/>
                <w:b/>
                <w:sz w:val="20"/>
                <w:lang w:val="ru-RU"/>
              </w:rPr>
              <w:t>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A26E66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1A205A" w:rsidRDefault="001A205A" w:rsidP="001A20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актрисе;</w:t>
            </w:r>
          </w:p>
          <w:p w:rsidR="001A205A" w:rsidRDefault="001A205A" w:rsidP="001A205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гор;</w:t>
            </w:r>
          </w:p>
          <w:p w:rsidR="00A26E66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97644">
              <w:rPr>
                <w:rFonts w:ascii="Century Gothic" w:hAnsi="Century Gothic"/>
                <w:sz w:val="20"/>
                <w:lang w:val="ru-RU"/>
              </w:rPr>
              <w:lastRenderedPageBreak/>
              <w:t>-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винный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погреб</w:t>
            </w:r>
            <w:r>
              <w:rPr>
                <w:rFonts w:ascii="Century Gothic" w:hAnsi="Century Gothic"/>
                <w:sz w:val="20"/>
                <w:lang w:val="ru-RU"/>
              </w:rPr>
              <w:t>, где Вас ждет дегустация различных сортов вина и грузинской водки – чача.</w:t>
            </w:r>
          </w:p>
          <w:p w:rsidR="00A26E66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694B98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26E66" w:rsidRPr="00883E13" w:rsidRDefault="00A26E66" w:rsidP="00A26E6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B98">
              <w:rPr>
                <w:rFonts w:ascii="Century Gothic" w:hAnsi="Century Gothic"/>
                <w:sz w:val="20"/>
                <w:lang w:val="ru-RU"/>
              </w:rPr>
              <w:t>Н</w:t>
            </w:r>
            <w:r>
              <w:rPr>
                <w:rFonts w:ascii="Century Gothic" w:hAnsi="Century Gothic"/>
                <w:sz w:val="20"/>
                <w:lang w:val="ru-RU"/>
              </w:rPr>
              <w:t>очь в отеле.</w:t>
            </w:r>
          </w:p>
        </w:tc>
      </w:tr>
      <w:tr w:rsidR="004718EB" w:rsidRPr="008D0F33" w:rsidTr="00547C5A">
        <w:tc>
          <w:tcPr>
            <w:tcW w:w="1662" w:type="dxa"/>
            <w:shd w:val="clear" w:color="auto" w:fill="auto"/>
            <w:vAlign w:val="center"/>
          </w:tcPr>
          <w:p w:rsidR="004718EB" w:rsidRPr="00135D7E" w:rsidRDefault="00A26E66" w:rsidP="004718E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="004718EB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718EB" w:rsidRPr="00547C5A" w:rsidRDefault="004718EB" w:rsidP="004718EB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718EB" w:rsidRDefault="004718EB" w:rsidP="004718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718EB" w:rsidRDefault="004718EB" w:rsidP="004718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4718EB" w:rsidRPr="0069789F" w:rsidRDefault="004718EB" w:rsidP="004718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4718EB" w:rsidRPr="008D0F33" w:rsidTr="00547C5A">
        <w:tc>
          <w:tcPr>
            <w:tcW w:w="1662" w:type="dxa"/>
            <w:shd w:val="clear" w:color="auto" w:fill="auto"/>
            <w:vAlign w:val="center"/>
          </w:tcPr>
          <w:p w:rsidR="004718EB" w:rsidRPr="006F3DE9" w:rsidRDefault="004718EB" w:rsidP="004718E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4718EB" w:rsidRPr="008D0F33" w:rsidRDefault="004718EB" w:rsidP="004718E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F4BA8" w:rsidRDefault="002F4BA8" w:rsidP="002F4BA8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2F4BA8" w:rsidRDefault="002F4BA8" w:rsidP="002F4BA8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376"/>
        <w:gridCol w:w="1376"/>
        <w:gridCol w:w="1380"/>
        <w:gridCol w:w="1376"/>
        <w:gridCol w:w="1371"/>
      </w:tblGrid>
      <w:tr w:rsidR="00B72D0F" w:rsidTr="00B72D0F">
        <w:trPr>
          <w:trHeight w:val="390"/>
        </w:trPr>
        <w:tc>
          <w:tcPr>
            <w:tcW w:w="1431" w:type="pct"/>
            <w:vMerge w:val="restart"/>
            <w:shd w:val="clear" w:color="auto" w:fill="auto"/>
            <w:vAlign w:val="center"/>
          </w:tcPr>
          <w:p w:rsidR="00B72D0F" w:rsidRPr="007668CE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Pr="000F769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в Баку</w:t>
            </w:r>
          </w:p>
        </w:tc>
        <w:tc>
          <w:tcPr>
            <w:tcW w:w="3569" w:type="pct"/>
            <w:gridSpan w:val="5"/>
            <w:shd w:val="clear" w:color="auto" w:fill="auto"/>
            <w:vAlign w:val="center"/>
          </w:tcPr>
          <w:p w:rsidR="00B72D0F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B72D0F" w:rsidRPr="00A71259" w:rsidTr="00B72D0F">
        <w:trPr>
          <w:trHeight w:val="390"/>
        </w:trPr>
        <w:tc>
          <w:tcPr>
            <w:tcW w:w="1431" w:type="pct"/>
            <w:vMerge/>
            <w:shd w:val="clear" w:color="auto" w:fill="auto"/>
            <w:vAlign w:val="center"/>
          </w:tcPr>
          <w:p w:rsidR="00B72D0F" w:rsidRPr="000F769B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72D0F" w:rsidRPr="004C659A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714" w:type="pct"/>
            <w:vAlign w:val="center"/>
          </w:tcPr>
          <w:p w:rsidR="00B72D0F" w:rsidRPr="004C659A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716" w:type="pct"/>
            <w:vAlign w:val="center"/>
          </w:tcPr>
          <w:p w:rsidR="00B72D0F" w:rsidRPr="00A71259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714" w:type="pct"/>
            <w:vAlign w:val="center"/>
          </w:tcPr>
          <w:p w:rsidR="00B72D0F" w:rsidRPr="00A71259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8 чел</w:t>
            </w:r>
          </w:p>
        </w:tc>
        <w:tc>
          <w:tcPr>
            <w:tcW w:w="712" w:type="pct"/>
            <w:vAlign w:val="center"/>
          </w:tcPr>
          <w:p w:rsidR="00B72D0F" w:rsidRPr="00A71259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 чел</w:t>
            </w:r>
          </w:p>
        </w:tc>
      </w:tr>
      <w:tr w:rsidR="00B72D0F" w:rsidRPr="0065774C" w:rsidTr="00B72D0F">
        <w:trPr>
          <w:trHeight w:val="340"/>
        </w:trPr>
        <w:tc>
          <w:tcPr>
            <w:tcW w:w="1431" w:type="pct"/>
            <w:shd w:val="clear" w:color="auto" w:fill="auto"/>
            <w:vAlign w:val="center"/>
          </w:tcPr>
          <w:p w:rsidR="00B72D0F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74504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974504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3*</w:t>
            </w:r>
            <w:r w:rsidR="00F8458B" w:rsidRPr="00F8458B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</w:t>
            </w:r>
            <w:r w:rsidR="00F8458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эконом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br/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 w:rsidRPr="005F207D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proofErr w:type="spellStart"/>
            <w:r w:rsidR="00CF0E71">
              <w:rPr>
                <w:rFonts w:ascii="Century Gothic" w:hAnsi="Century Gothic"/>
                <w:sz w:val="20"/>
                <w:lang w:val="en-US"/>
              </w:rPr>
              <w:t>Nemi</w:t>
            </w:r>
            <w:proofErr w:type="spellEnd"/>
            <w:r w:rsidR="00CF0E71">
              <w:rPr>
                <w:rFonts w:ascii="Century Gothic" w:hAnsi="Century Gothic"/>
                <w:sz w:val="20"/>
                <w:lang w:val="en-US"/>
              </w:rPr>
              <w:t>, Amber, All Star</w:t>
            </w:r>
          </w:p>
          <w:p w:rsidR="00B72D0F" w:rsidRPr="00B72D0F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B72D0F">
              <w:rPr>
                <w:rFonts w:ascii="Century Gothic" w:hAnsi="Century Gothic"/>
                <w:b/>
                <w:sz w:val="20"/>
                <w:lang w:val="en-US"/>
              </w:rPr>
              <w:t>:</w:t>
            </w:r>
            <w:r w:rsidRPr="00B72D0F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="00F8458B">
              <w:rPr>
                <w:rFonts w:ascii="Century Gothic" w:hAnsi="Century Gothic"/>
                <w:sz w:val="20"/>
                <w:lang w:val="en-US"/>
              </w:rPr>
              <w:t>Dalida</w:t>
            </w:r>
            <w:proofErr w:type="spellEnd"/>
            <w:r w:rsidR="00F8458B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="00F8458B">
              <w:rPr>
                <w:rFonts w:ascii="Century Gothic" w:hAnsi="Century Gothic"/>
                <w:sz w:val="20"/>
                <w:lang w:val="en-US"/>
              </w:rPr>
              <w:t>Darchi</w:t>
            </w:r>
            <w:proofErr w:type="spellEnd"/>
            <w:r w:rsidR="00F8458B">
              <w:rPr>
                <w:rFonts w:ascii="Century Gothic" w:hAnsi="Century Gothic"/>
                <w:sz w:val="20"/>
                <w:lang w:val="en-US"/>
              </w:rPr>
              <w:t>, Nice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465</w:t>
            </w:r>
          </w:p>
        </w:tc>
        <w:tc>
          <w:tcPr>
            <w:tcW w:w="714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ru-RU"/>
              </w:rPr>
              <w:t>349</w:t>
            </w:r>
          </w:p>
        </w:tc>
        <w:tc>
          <w:tcPr>
            <w:tcW w:w="716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299</w:t>
            </w:r>
          </w:p>
        </w:tc>
        <w:tc>
          <w:tcPr>
            <w:tcW w:w="714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295</w:t>
            </w:r>
          </w:p>
        </w:tc>
        <w:tc>
          <w:tcPr>
            <w:tcW w:w="712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265</w:t>
            </w:r>
          </w:p>
        </w:tc>
      </w:tr>
      <w:tr w:rsidR="00B72D0F" w:rsidRPr="00B550AA" w:rsidTr="00B72D0F">
        <w:trPr>
          <w:trHeight w:val="340"/>
        </w:trPr>
        <w:tc>
          <w:tcPr>
            <w:tcW w:w="1431" w:type="pct"/>
            <w:shd w:val="clear" w:color="auto" w:fill="auto"/>
            <w:vAlign w:val="center"/>
          </w:tcPr>
          <w:p w:rsidR="00B72D0F" w:rsidRPr="00F8458B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ru-RU"/>
              </w:rPr>
            </w:pPr>
            <w:r w:rsidRPr="00974504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1A205A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4*</w:t>
            </w:r>
            <w:r w:rsidR="00F8458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эконом</w:t>
            </w:r>
          </w:p>
          <w:p w:rsidR="00B72D0F" w:rsidRPr="001A205A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 w:rsidRPr="001A205A">
              <w:rPr>
                <w:rFonts w:ascii="Century Gothic" w:hAnsi="Century Gothic"/>
                <w:b/>
                <w:sz w:val="20"/>
                <w:lang w:val="ru-RU"/>
              </w:rPr>
              <w:t xml:space="preserve">: </w:t>
            </w:r>
            <w:proofErr w:type="spellStart"/>
            <w:r w:rsidR="00F8458B">
              <w:rPr>
                <w:rFonts w:ascii="Century Gothic" w:hAnsi="Century Gothic"/>
                <w:sz w:val="20"/>
                <w:lang w:val="en-US"/>
              </w:rPr>
              <w:t>Aksent</w:t>
            </w:r>
            <w:proofErr w:type="spellEnd"/>
            <w:r w:rsidR="00F8458B" w:rsidRPr="001A205A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F8458B">
              <w:rPr>
                <w:rFonts w:ascii="Century Gothic" w:hAnsi="Century Gothic"/>
                <w:sz w:val="20"/>
                <w:lang w:val="en-US"/>
              </w:rPr>
              <w:t>Hazz</w:t>
            </w:r>
            <w:proofErr w:type="spellEnd"/>
            <w:r w:rsidR="00F8458B" w:rsidRPr="001A205A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F8458B">
              <w:rPr>
                <w:rFonts w:ascii="Century Gothic" w:hAnsi="Century Gothic"/>
                <w:sz w:val="20"/>
                <w:lang w:val="en-US"/>
              </w:rPr>
              <w:t>Austin</w:t>
            </w:r>
          </w:p>
          <w:p w:rsidR="00B72D0F" w:rsidRPr="00152EAD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152EAD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proofErr w:type="spellStart"/>
            <w:r w:rsidR="00F8458B">
              <w:rPr>
                <w:rFonts w:ascii="Century Gothic" w:hAnsi="Century Gothic"/>
                <w:sz w:val="20"/>
                <w:lang w:val="en-US"/>
              </w:rPr>
              <w:t>Vedzisi</w:t>
            </w:r>
            <w:proofErr w:type="spellEnd"/>
            <w:r w:rsidR="00F8458B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="00F8458B">
              <w:rPr>
                <w:rFonts w:ascii="Century Gothic" w:hAnsi="Century Gothic"/>
                <w:sz w:val="20"/>
                <w:lang w:val="en-US"/>
              </w:rPr>
              <w:t>Neapol</w:t>
            </w:r>
            <w:proofErr w:type="spellEnd"/>
          </w:p>
        </w:tc>
        <w:tc>
          <w:tcPr>
            <w:tcW w:w="714" w:type="pct"/>
            <w:shd w:val="clear" w:color="auto" w:fill="auto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499</w:t>
            </w:r>
          </w:p>
        </w:tc>
        <w:tc>
          <w:tcPr>
            <w:tcW w:w="714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395</w:t>
            </w:r>
          </w:p>
        </w:tc>
        <w:tc>
          <w:tcPr>
            <w:tcW w:w="716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345</w:t>
            </w:r>
          </w:p>
        </w:tc>
        <w:tc>
          <w:tcPr>
            <w:tcW w:w="714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335</w:t>
            </w:r>
          </w:p>
        </w:tc>
        <w:tc>
          <w:tcPr>
            <w:tcW w:w="712" w:type="pct"/>
            <w:vAlign w:val="center"/>
          </w:tcPr>
          <w:p w:rsidR="00B72D0F" w:rsidRPr="00F8458B" w:rsidRDefault="00F845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310</w:t>
            </w:r>
          </w:p>
        </w:tc>
      </w:tr>
      <w:tr w:rsidR="00B72D0F" w:rsidRPr="000F769B" w:rsidTr="00B72D0F">
        <w:trPr>
          <w:trHeight w:val="340"/>
        </w:trPr>
        <w:tc>
          <w:tcPr>
            <w:tcW w:w="1431" w:type="pct"/>
            <w:shd w:val="clear" w:color="auto" w:fill="auto"/>
            <w:vAlign w:val="center"/>
          </w:tcPr>
          <w:p w:rsidR="00B72D0F" w:rsidRPr="00631BB2" w:rsidRDefault="00B72D0F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72D0F" w:rsidRPr="00152EAD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B72D0F" w:rsidRPr="00152EAD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6" w:type="pct"/>
            <w:vAlign w:val="center"/>
          </w:tcPr>
          <w:p w:rsidR="00B72D0F" w:rsidRPr="00152EAD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B72D0F" w:rsidRPr="00152EAD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B72D0F" w:rsidRPr="00152EAD" w:rsidRDefault="00B72D0F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75576E" w:rsidRPr="00F8458B" w:rsidRDefault="0075576E" w:rsidP="00C52D32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A26E66" w:rsidRDefault="00A26E66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Pr="00E60C23" w:rsidRDefault="0015052E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E66AEC" w:rsidRDefault="0028164B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</w:t>
      </w:r>
      <w:r w:rsidR="00DA3657">
        <w:rPr>
          <w:rFonts w:ascii="Century Gothic" w:hAnsi="Century Gothic"/>
          <w:sz w:val="20"/>
          <w:lang w:val="ru-RU"/>
        </w:rPr>
        <w:t>в отел</w:t>
      </w:r>
      <w:r>
        <w:rPr>
          <w:rFonts w:ascii="Century Gothic" w:hAnsi="Century Gothic"/>
          <w:sz w:val="20"/>
          <w:lang w:val="ru-RU"/>
        </w:rPr>
        <w:t>е выбранной категории</w:t>
      </w:r>
      <w:r w:rsidR="00E66AEC">
        <w:rPr>
          <w:rFonts w:ascii="Century Gothic" w:hAnsi="Century Gothic"/>
          <w:sz w:val="20"/>
          <w:lang w:val="ru-RU"/>
        </w:rPr>
        <w:t xml:space="preserve"> на базе ВВ</w:t>
      </w:r>
    </w:p>
    <w:p w:rsidR="00E66AEC" w:rsidRPr="0038261F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F73684" w:rsidRDefault="00F73684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билеты на поезд Баку – </w:t>
      </w:r>
      <w:r w:rsidRPr="00F73684">
        <w:rPr>
          <w:rFonts w:ascii="Century Gothic" w:hAnsi="Century Gothic"/>
          <w:sz w:val="20"/>
          <w:lang w:val="ru-RU"/>
        </w:rPr>
        <w:t>Тбилиси (купе)</w:t>
      </w:r>
    </w:p>
    <w:p w:rsidR="00E66AEC" w:rsidRPr="00821565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услуги </w:t>
      </w:r>
      <w:r w:rsidR="0051562E">
        <w:rPr>
          <w:rFonts w:ascii="Century Gothic" w:hAnsi="Century Gothic"/>
          <w:sz w:val="20"/>
          <w:lang w:val="ru-RU"/>
        </w:rPr>
        <w:t>русского</w:t>
      </w:r>
      <w:r>
        <w:rPr>
          <w:rFonts w:ascii="Century Gothic" w:hAnsi="Century Gothic"/>
          <w:sz w:val="20"/>
          <w:lang w:val="ru-RU"/>
        </w:rPr>
        <w:t>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DA6C58">
        <w:rPr>
          <w:rFonts w:ascii="Century Gothic" w:hAnsi="Century Gothic"/>
          <w:sz w:val="20"/>
          <w:lang w:val="ru-RU"/>
        </w:rPr>
        <w:t>по маршруту</w:t>
      </w:r>
    </w:p>
    <w:p w:rsidR="00152EAD" w:rsidRPr="00152EAD" w:rsidRDefault="00152EAD" w:rsidP="00E25874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152EAD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 xml:space="preserve">подъемники на крепость </w:t>
      </w:r>
      <w:proofErr w:type="spellStart"/>
      <w:r>
        <w:rPr>
          <w:rFonts w:ascii="Century Gothic" w:hAnsi="Century Gothic"/>
          <w:sz w:val="20"/>
          <w:lang w:val="ru-RU"/>
        </w:rPr>
        <w:t>Нарикала</w:t>
      </w:r>
      <w:proofErr w:type="spellEnd"/>
    </w:p>
    <w:p w:rsidR="00152EAD" w:rsidRDefault="00152EAD" w:rsidP="00E2587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городской туристический сбор в Азербайджане</w:t>
      </w:r>
    </w:p>
    <w:p w:rsidR="00E66AEC" w:rsidRP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F8458B" w:rsidRDefault="00F8458B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F73684" w:rsidRPr="0038261F" w:rsidRDefault="0015559E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77113A" w:rsidRDefault="0077113A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28164B" w:rsidRPr="00FF6819" w:rsidRDefault="0028164B" w:rsidP="0028164B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</w:t>
      </w:r>
      <w:r w:rsidRPr="00FF6819">
        <w:rPr>
          <w:rFonts w:ascii="Century Gothic" w:eastAsia="KaiTi_GB2312" w:hAnsi="Century Gothic"/>
          <w:b/>
          <w:sz w:val="20"/>
          <w:lang w:val="ru-RU"/>
        </w:rPr>
        <w:t>:</w:t>
      </w:r>
    </w:p>
    <w:p w:rsidR="0028164B" w:rsidRDefault="0028164B" w:rsidP="0028164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принимающая сторона несе</w:t>
      </w:r>
      <w:r w:rsidRPr="001D50BD">
        <w:rPr>
          <w:rFonts w:ascii="Century Gothic" w:hAnsi="Century Gothic"/>
          <w:sz w:val="20"/>
          <w:lang w:val="ru-RU"/>
        </w:rPr>
        <w:t xml:space="preserve">т за собой право </w:t>
      </w:r>
      <w:r>
        <w:rPr>
          <w:rFonts w:ascii="Century Gothic" w:hAnsi="Century Gothic"/>
          <w:sz w:val="20"/>
          <w:lang w:val="ru-RU"/>
        </w:rPr>
        <w:t>м</w:t>
      </w:r>
      <w:r w:rsidRPr="0028164B">
        <w:rPr>
          <w:rFonts w:ascii="Century Gothic" w:hAnsi="Century Gothic"/>
          <w:sz w:val="20"/>
          <w:lang w:val="ru-RU"/>
        </w:rPr>
        <w:t>енять пор</w:t>
      </w:r>
      <w:r>
        <w:rPr>
          <w:rFonts w:ascii="Century Gothic" w:hAnsi="Century Gothic"/>
          <w:sz w:val="20"/>
          <w:lang w:val="ru-RU"/>
        </w:rPr>
        <w:t>ядок экскурсий, не сокращая объе</w:t>
      </w:r>
      <w:r w:rsidRPr="0028164B">
        <w:rPr>
          <w:rFonts w:ascii="Century Gothic" w:hAnsi="Century Gothic"/>
          <w:sz w:val="20"/>
          <w:lang w:val="ru-RU"/>
        </w:rPr>
        <w:t>ма</w:t>
      </w:r>
      <w:r>
        <w:rPr>
          <w:rFonts w:ascii="Century Gothic" w:hAnsi="Century Gothic"/>
          <w:sz w:val="20"/>
          <w:lang w:val="ru-RU"/>
        </w:rPr>
        <w:t>, а также при необходимости заменя</w:t>
      </w:r>
      <w:r w:rsidRPr="0028164B">
        <w:rPr>
          <w:rFonts w:ascii="Century Gothic" w:hAnsi="Century Gothic"/>
          <w:sz w:val="20"/>
          <w:lang w:val="ru-RU"/>
        </w:rPr>
        <w:t>ть объекты посещения, предост</w:t>
      </w:r>
      <w:r>
        <w:rPr>
          <w:rFonts w:ascii="Century Gothic" w:hAnsi="Century Gothic"/>
          <w:sz w:val="20"/>
          <w:lang w:val="ru-RU"/>
        </w:rPr>
        <w:t>авляя равнозначную альтернативу</w:t>
      </w:r>
    </w:p>
    <w:p w:rsidR="00A40C82" w:rsidRPr="00F579C4" w:rsidRDefault="00A40C82" w:rsidP="0028164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963215">
        <w:rPr>
          <w:rFonts w:ascii="Century Gothic" w:hAnsi="Century Gothic"/>
          <w:sz w:val="20"/>
          <w:lang w:val="ru-RU"/>
        </w:rPr>
        <w:lastRenderedPageBreak/>
        <w:t>- уточняйте, пожалуйста, стоимость на даты: 15.03.2019 – 01.04.2019, 25.042019 – 01.05.2019, 20.05.2019 – 01.06.2019</w:t>
      </w:r>
    </w:p>
    <w:sectPr w:rsidR="00A40C82" w:rsidRPr="00F579C4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D9" w:rsidRDefault="00785FD9" w:rsidP="00EA0020">
      <w:pPr>
        <w:spacing w:after="0" w:line="240" w:lineRule="auto"/>
      </w:pPr>
      <w:r>
        <w:separator/>
      </w:r>
    </w:p>
  </w:endnote>
  <w:endnote w:type="continuationSeparator" w:id="0">
    <w:p w:rsidR="00785FD9" w:rsidRDefault="00785FD9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D9" w:rsidRDefault="00785FD9" w:rsidP="00EA0020">
      <w:pPr>
        <w:spacing w:after="0" w:line="240" w:lineRule="auto"/>
      </w:pPr>
      <w:r>
        <w:separator/>
      </w:r>
    </w:p>
  </w:footnote>
  <w:footnote w:type="continuationSeparator" w:id="0">
    <w:p w:rsidR="00785FD9" w:rsidRDefault="00785FD9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942E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942E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9942E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D6"/>
    <w:multiLevelType w:val="hybridMultilevel"/>
    <w:tmpl w:val="F6E0B45A"/>
    <w:lvl w:ilvl="0" w:tplc="0D68BD68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DBA"/>
    <w:multiLevelType w:val="hybridMultilevel"/>
    <w:tmpl w:val="B250179C"/>
    <w:lvl w:ilvl="0" w:tplc="F06889FA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07FEB"/>
    <w:rsid w:val="000306E3"/>
    <w:rsid w:val="0003782B"/>
    <w:rsid w:val="00047755"/>
    <w:rsid w:val="000506E3"/>
    <w:rsid w:val="00072907"/>
    <w:rsid w:val="00072A58"/>
    <w:rsid w:val="00076634"/>
    <w:rsid w:val="00080F76"/>
    <w:rsid w:val="00081907"/>
    <w:rsid w:val="00083A04"/>
    <w:rsid w:val="00084F51"/>
    <w:rsid w:val="00090A3E"/>
    <w:rsid w:val="000A0BEE"/>
    <w:rsid w:val="000A3210"/>
    <w:rsid w:val="000B7D72"/>
    <w:rsid w:val="000C4D99"/>
    <w:rsid w:val="000D0DB7"/>
    <w:rsid w:val="000D1902"/>
    <w:rsid w:val="000D6B49"/>
    <w:rsid w:val="000D6CC4"/>
    <w:rsid w:val="000D7845"/>
    <w:rsid w:val="000E116E"/>
    <w:rsid w:val="000E1922"/>
    <w:rsid w:val="000E27A5"/>
    <w:rsid w:val="000F0838"/>
    <w:rsid w:val="000F33BC"/>
    <w:rsid w:val="000F45A0"/>
    <w:rsid w:val="000F6CC4"/>
    <w:rsid w:val="000F7DF9"/>
    <w:rsid w:val="00102149"/>
    <w:rsid w:val="00107695"/>
    <w:rsid w:val="0011727E"/>
    <w:rsid w:val="001228D6"/>
    <w:rsid w:val="00126350"/>
    <w:rsid w:val="00134632"/>
    <w:rsid w:val="00135D7E"/>
    <w:rsid w:val="00141A2D"/>
    <w:rsid w:val="001444F6"/>
    <w:rsid w:val="00145B87"/>
    <w:rsid w:val="0015052E"/>
    <w:rsid w:val="00152EAD"/>
    <w:rsid w:val="0015559E"/>
    <w:rsid w:val="00156399"/>
    <w:rsid w:val="0016227E"/>
    <w:rsid w:val="00163DB2"/>
    <w:rsid w:val="001640A5"/>
    <w:rsid w:val="0017368B"/>
    <w:rsid w:val="001740E1"/>
    <w:rsid w:val="00176622"/>
    <w:rsid w:val="0019328B"/>
    <w:rsid w:val="0019547B"/>
    <w:rsid w:val="001A14C6"/>
    <w:rsid w:val="001A184D"/>
    <w:rsid w:val="001A205A"/>
    <w:rsid w:val="001A4A9F"/>
    <w:rsid w:val="001A6272"/>
    <w:rsid w:val="001B5A15"/>
    <w:rsid w:val="001B7852"/>
    <w:rsid w:val="001C21DE"/>
    <w:rsid w:val="001C29F7"/>
    <w:rsid w:val="001C7536"/>
    <w:rsid w:val="001D0D3B"/>
    <w:rsid w:val="001D1021"/>
    <w:rsid w:val="001D1889"/>
    <w:rsid w:val="001E505E"/>
    <w:rsid w:val="001F5DCF"/>
    <w:rsid w:val="00200E55"/>
    <w:rsid w:val="00203E54"/>
    <w:rsid w:val="002069B0"/>
    <w:rsid w:val="002073DC"/>
    <w:rsid w:val="00216A94"/>
    <w:rsid w:val="00222EA7"/>
    <w:rsid w:val="00224E86"/>
    <w:rsid w:val="0022500F"/>
    <w:rsid w:val="0024165D"/>
    <w:rsid w:val="0026555B"/>
    <w:rsid w:val="002661E2"/>
    <w:rsid w:val="002755BD"/>
    <w:rsid w:val="00275BA2"/>
    <w:rsid w:val="00276D39"/>
    <w:rsid w:val="0028164B"/>
    <w:rsid w:val="00281C39"/>
    <w:rsid w:val="00287C88"/>
    <w:rsid w:val="00293C10"/>
    <w:rsid w:val="002B0920"/>
    <w:rsid w:val="002B1270"/>
    <w:rsid w:val="002D1277"/>
    <w:rsid w:val="002F2260"/>
    <w:rsid w:val="002F23C2"/>
    <w:rsid w:val="002F4ADF"/>
    <w:rsid w:val="002F4BA8"/>
    <w:rsid w:val="002F4D1B"/>
    <w:rsid w:val="002F7D12"/>
    <w:rsid w:val="00301E39"/>
    <w:rsid w:val="003034B8"/>
    <w:rsid w:val="0030450E"/>
    <w:rsid w:val="003061F6"/>
    <w:rsid w:val="003063D6"/>
    <w:rsid w:val="00325E8D"/>
    <w:rsid w:val="003311B4"/>
    <w:rsid w:val="0033527A"/>
    <w:rsid w:val="003362CE"/>
    <w:rsid w:val="003442BE"/>
    <w:rsid w:val="00355512"/>
    <w:rsid w:val="00360FBE"/>
    <w:rsid w:val="003716A9"/>
    <w:rsid w:val="00372E8C"/>
    <w:rsid w:val="003812AD"/>
    <w:rsid w:val="0038261F"/>
    <w:rsid w:val="003850CA"/>
    <w:rsid w:val="0038699E"/>
    <w:rsid w:val="00387B42"/>
    <w:rsid w:val="00391CA7"/>
    <w:rsid w:val="0039401E"/>
    <w:rsid w:val="00396BB4"/>
    <w:rsid w:val="00396E61"/>
    <w:rsid w:val="003A04D9"/>
    <w:rsid w:val="003A37C0"/>
    <w:rsid w:val="003C7727"/>
    <w:rsid w:val="003D1001"/>
    <w:rsid w:val="003D15B5"/>
    <w:rsid w:val="003E0BF6"/>
    <w:rsid w:val="003E2240"/>
    <w:rsid w:val="003F3921"/>
    <w:rsid w:val="003F6ABF"/>
    <w:rsid w:val="00407296"/>
    <w:rsid w:val="00410DD4"/>
    <w:rsid w:val="00414544"/>
    <w:rsid w:val="00414BF0"/>
    <w:rsid w:val="004155C1"/>
    <w:rsid w:val="00423BF9"/>
    <w:rsid w:val="00430FCC"/>
    <w:rsid w:val="004439FE"/>
    <w:rsid w:val="00445494"/>
    <w:rsid w:val="004555A3"/>
    <w:rsid w:val="0045665E"/>
    <w:rsid w:val="00457BFF"/>
    <w:rsid w:val="004614C3"/>
    <w:rsid w:val="00463AFD"/>
    <w:rsid w:val="00467FBC"/>
    <w:rsid w:val="004718EB"/>
    <w:rsid w:val="004748F8"/>
    <w:rsid w:val="004829FB"/>
    <w:rsid w:val="004848E7"/>
    <w:rsid w:val="004B2594"/>
    <w:rsid w:val="004B71D8"/>
    <w:rsid w:val="004C659A"/>
    <w:rsid w:val="004D4E47"/>
    <w:rsid w:val="004E0C6E"/>
    <w:rsid w:val="004E3F4E"/>
    <w:rsid w:val="004E4D42"/>
    <w:rsid w:val="004F3973"/>
    <w:rsid w:val="004F3CAE"/>
    <w:rsid w:val="004F5E01"/>
    <w:rsid w:val="0050683C"/>
    <w:rsid w:val="005112FF"/>
    <w:rsid w:val="0051562E"/>
    <w:rsid w:val="005303C6"/>
    <w:rsid w:val="00532D06"/>
    <w:rsid w:val="00547C5A"/>
    <w:rsid w:val="00553E86"/>
    <w:rsid w:val="00577899"/>
    <w:rsid w:val="00577A32"/>
    <w:rsid w:val="00593078"/>
    <w:rsid w:val="00594E3B"/>
    <w:rsid w:val="005B0405"/>
    <w:rsid w:val="005B5458"/>
    <w:rsid w:val="005C0B18"/>
    <w:rsid w:val="005C3DBA"/>
    <w:rsid w:val="005D77E3"/>
    <w:rsid w:val="005E5B6E"/>
    <w:rsid w:val="005E7F2C"/>
    <w:rsid w:val="005F207D"/>
    <w:rsid w:val="005F216E"/>
    <w:rsid w:val="006009C0"/>
    <w:rsid w:val="00601C4D"/>
    <w:rsid w:val="006156A1"/>
    <w:rsid w:val="00620810"/>
    <w:rsid w:val="00622721"/>
    <w:rsid w:val="00624E0C"/>
    <w:rsid w:val="0063017D"/>
    <w:rsid w:val="006317E6"/>
    <w:rsid w:val="00631E5E"/>
    <w:rsid w:val="006323F4"/>
    <w:rsid w:val="00633F54"/>
    <w:rsid w:val="006456D1"/>
    <w:rsid w:val="006456F7"/>
    <w:rsid w:val="0064617B"/>
    <w:rsid w:val="006468AE"/>
    <w:rsid w:val="0065156D"/>
    <w:rsid w:val="00652B8D"/>
    <w:rsid w:val="0065352F"/>
    <w:rsid w:val="00657958"/>
    <w:rsid w:val="00660AEB"/>
    <w:rsid w:val="00665A91"/>
    <w:rsid w:val="006663E8"/>
    <w:rsid w:val="00673BEF"/>
    <w:rsid w:val="00676B72"/>
    <w:rsid w:val="00685E9B"/>
    <w:rsid w:val="0069000F"/>
    <w:rsid w:val="00691AAE"/>
    <w:rsid w:val="0069789F"/>
    <w:rsid w:val="006A09CA"/>
    <w:rsid w:val="006A4BEC"/>
    <w:rsid w:val="006B4663"/>
    <w:rsid w:val="006C3FDA"/>
    <w:rsid w:val="006C577A"/>
    <w:rsid w:val="006D2658"/>
    <w:rsid w:val="006F16D4"/>
    <w:rsid w:val="006F3DE9"/>
    <w:rsid w:val="006F4C9C"/>
    <w:rsid w:val="006F513D"/>
    <w:rsid w:val="006F6289"/>
    <w:rsid w:val="00710BEE"/>
    <w:rsid w:val="007134EA"/>
    <w:rsid w:val="00713649"/>
    <w:rsid w:val="00715D24"/>
    <w:rsid w:val="007179F9"/>
    <w:rsid w:val="00725960"/>
    <w:rsid w:val="00734E5D"/>
    <w:rsid w:val="00740083"/>
    <w:rsid w:val="00746998"/>
    <w:rsid w:val="007550FC"/>
    <w:rsid w:val="0075576E"/>
    <w:rsid w:val="007616A0"/>
    <w:rsid w:val="00770AEC"/>
    <w:rsid w:val="0077113A"/>
    <w:rsid w:val="00785FD9"/>
    <w:rsid w:val="00790093"/>
    <w:rsid w:val="007A6502"/>
    <w:rsid w:val="007B06A3"/>
    <w:rsid w:val="007B4BC2"/>
    <w:rsid w:val="007C0D7F"/>
    <w:rsid w:val="007D2C9F"/>
    <w:rsid w:val="007E66B8"/>
    <w:rsid w:val="007E7D5B"/>
    <w:rsid w:val="007F6AA1"/>
    <w:rsid w:val="007F7B18"/>
    <w:rsid w:val="00807398"/>
    <w:rsid w:val="00817FBF"/>
    <w:rsid w:val="0082259F"/>
    <w:rsid w:val="0082450C"/>
    <w:rsid w:val="00836DDD"/>
    <w:rsid w:val="008414BB"/>
    <w:rsid w:val="00844AC6"/>
    <w:rsid w:val="00847343"/>
    <w:rsid w:val="00885286"/>
    <w:rsid w:val="008857EE"/>
    <w:rsid w:val="008858B6"/>
    <w:rsid w:val="008B01FD"/>
    <w:rsid w:val="008B715F"/>
    <w:rsid w:val="008B763A"/>
    <w:rsid w:val="008C227D"/>
    <w:rsid w:val="008C53E3"/>
    <w:rsid w:val="008E21C5"/>
    <w:rsid w:val="00912AB4"/>
    <w:rsid w:val="00916652"/>
    <w:rsid w:val="00920F71"/>
    <w:rsid w:val="009249CF"/>
    <w:rsid w:val="0093156D"/>
    <w:rsid w:val="00933ACE"/>
    <w:rsid w:val="00937FF2"/>
    <w:rsid w:val="009428C9"/>
    <w:rsid w:val="0095042C"/>
    <w:rsid w:val="0095099F"/>
    <w:rsid w:val="00960DC1"/>
    <w:rsid w:val="00975F50"/>
    <w:rsid w:val="00982443"/>
    <w:rsid w:val="009841BE"/>
    <w:rsid w:val="009942E0"/>
    <w:rsid w:val="00994A0B"/>
    <w:rsid w:val="00995D5D"/>
    <w:rsid w:val="009A5F0A"/>
    <w:rsid w:val="009B426D"/>
    <w:rsid w:val="009B4B9C"/>
    <w:rsid w:val="009C0720"/>
    <w:rsid w:val="009C2CE5"/>
    <w:rsid w:val="009D5660"/>
    <w:rsid w:val="009E1488"/>
    <w:rsid w:val="009E1899"/>
    <w:rsid w:val="009E5289"/>
    <w:rsid w:val="009E58BE"/>
    <w:rsid w:val="009E5979"/>
    <w:rsid w:val="009F0ADF"/>
    <w:rsid w:val="009F4ADD"/>
    <w:rsid w:val="009F6269"/>
    <w:rsid w:val="00A04B26"/>
    <w:rsid w:val="00A05847"/>
    <w:rsid w:val="00A06657"/>
    <w:rsid w:val="00A070BE"/>
    <w:rsid w:val="00A2108C"/>
    <w:rsid w:val="00A22FBD"/>
    <w:rsid w:val="00A26663"/>
    <w:rsid w:val="00A26E66"/>
    <w:rsid w:val="00A2767F"/>
    <w:rsid w:val="00A31173"/>
    <w:rsid w:val="00A40171"/>
    <w:rsid w:val="00A4063F"/>
    <w:rsid w:val="00A40C82"/>
    <w:rsid w:val="00A44DCC"/>
    <w:rsid w:val="00A457C7"/>
    <w:rsid w:val="00A54248"/>
    <w:rsid w:val="00A562B7"/>
    <w:rsid w:val="00A94C9F"/>
    <w:rsid w:val="00A96D58"/>
    <w:rsid w:val="00AA295F"/>
    <w:rsid w:val="00AA7D4B"/>
    <w:rsid w:val="00AB12CB"/>
    <w:rsid w:val="00AB35F3"/>
    <w:rsid w:val="00AB3B3C"/>
    <w:rsid w:val="00AB6613"/>
    <w:rsid w:val="00AC5AFB"/>
    <w:rsid w:val="00AC6F99"/>
    <w:rsid w:val="00AD2A13"/>
    <w:rsid w:val="00AD2BB9"/>
    <w:rsid w:val="00AD7DC0"/>
    <w:rsid w:val="00AE0E37"/>
    <w:rsid w:val="00AE2BE3"/>
    <w:rsid w:val="00AF070D"/>
    <w:rsid w:val="00AF0A9F"/>
    <w:rsid w:val="00AF46A5"/>
    <w:rsid w:val="00B01574"/>
    <w:rsid w:val="00B050E0"/>
    <w:rsid w:val="00B05FD8"/>
    <w:rsid w:val="00B13D64"/>
    <w:rsid w:val="00B15973"/>
    <w:rsid w:val="00B15BDB"/>
    <w:rsid w:val="00B24536"/>
    <w:rsid w:val="00B46986"/>
    <w:rsid w:val="00B5146E"/>
    <w:rsid w:val="00B67663"/>
    <w:rsid w:val="00B72D0F"/>
    <w:rsid w:val="00B77B7D"/>
    <w:rsid w:val="00B80F49"/>
    <w:rsid w:val="00B84CB1"/>
    <w:rsid w:val="00B86E38"/>
    <w:rsid w:val="00B93C84"/>
    <w:rsid w:val="00BA0EFF"/>
    <w:rsid w:val="00BA3095"/>
    <w:rsid w:val="00BA40DA"/>
    <w:rsid w:val="00BB48E3"/>
    <w:rsid w:val="00BB76B2"/>
    <w:rsid w:val="00BD1E1D"/>
    <w:rsid w:val="00BE057C"/>
    <w:rsid w:val="00BE21B3"/>
    <w:rsid w:val="00BE23FA"/>
    <w:rsid w:val="00BE3A75"/>
    <w:rsid w:val="00BF6011"/>
    <w:rsid w:val="00BF6AAD"/>
    <w:rsid w:val="00C04EEA"/>
    <w:rsid w:val="00C075EB"/>
    <w:rsid w:val="00C102AB"/>
    <w:rsid w:val="00C2515F"/>
    <w:rsid w:val="00C3559F"/>
    <w:rsid w:val="00C514F5"/>
    <w:rsid w:val="00C52D32"/>
    <w:rsid w:val="00C555AA"/>
    <w:rsid w:val="00C64C56"/>
    <w:rsid w:val="00C77CD9"/>
    <w:rsid w:val="00C820CE"/>
    <w:rsid w:val="00C82BAD"/>
    <w:rsid w:val="00C851D0"/>
    <w:rsid w:val="00C9739B"/>
    <w:rsid w:val="00CA0EAE"/>
    <w:rsid w:val="00CA4DC6"/>
    <w:rsid w:val="00CB11A3"/>
    <w:rsid w:val="00CB2005"/>
    <w:rsid w:val="00CB5FB7"/>
    <w:rsid w:val="00CC2B3B"/>
    <w:rsid w:val="00CC7202"/>
    <w:rsid w:val="00CD417A"/>
    <w:rsid w:val="00CE5186"/>
    <w:rsid w:val="00CF0532"/>
    <w:rsid w:val="00CF0CA7"/>
    <w:rsid w:val="00CF0E71"/>
    <w:rsid w:val="00D03D3D"/>
    <w:rsid w:val="00D0436A"/>
    <w:rsid w:val="00D04BD2"/>
    <w:rsid w:val="00D066E2"/>
    <w:rsid w:val="00D070C7"/>
    <w:rsid w:val="00D07716"/>
    <w:rsid w:val="00D07E53"/>
    <w:rsid w:val="00D143F1"/>
    <w:rsid w:val="00D25199"/>
    <w:rsid w:val="00D303F4"/>
    <w:rsid w:val="00D36962"/>
    <w:rsid w:val="00D46AA1"/>
    <w:rsid w:val="00D47B6D"/>
    <w:rsid w:val="00D51949"/>
    <w:rsid w:val="00D54D21"/>
    <w:rsid w:val="00D61812"/>
    <w:rsid w:val="00D62894"/>
    <w:rsid w:val="00D66A62"/>
    <w:rsid w:val="00D71F78"/>
    <w:rsid w:val="00D731AE"/>
    <w:rsid w:val="00D765FC"/>
    <w:rsid w:val="00D830D5"/>
    <w:rsid w:val="00D84D85"/>
    <w:rsid w:val="00D864BC"/>
    <w:rsid w:val="00D957A5"/>
    <w:rsid w:val="00DA11C9"/>
    <w:rsid w:val="00DA3657"/>
    <w:rsid w:val="00DA6C58"/>
    <w:rsid w:val="00DA72CC"/>
    <w:rsid w:val="00DC2A1D"/>
    <w:rsid w:val="00DC319D"/>
    <w:rsid w:val="00DC46FA"/>
    <w:rsid w:val="00DC5467"/>
    <w:rsid w:val="00DC65E4"/>
    <w:rsid w:val="00DD52DF"/>
    <w:rsid w:val="00DE26E0"/>
    <w:rsid w:val="00DE6A89"/>
    <w:rsid w:val="00DF104E"/>
    <w:rsid w:val="00DF2480"/>
    <w:rsid w:val="00DF5CE7"/>
    <w:rsid w:val="00E005FC"/>
    <w:rsid w:val="00E014B5"/>
    <w:rsid w:val="00E03777"/>
    <w:rsid w:val="00E240DE"/>
    <w:rsid w:val="00E2418D"/>
    <w:rsid w:val="00E25874"/>
    <w:rsid w:val="00E261C3"/>
    <w:rsid w:val="00E265E8"/>
    <w:rsid w:val="00E27FCA"/>
    <w:rsid w:val="00E465AE"/>
    <w:rsid w:val="00E47D86"/>
    <w:rsid w:val="00E52A7C"/>
    <w:rsid w:val="00E542FB"/>
    <w:rsid w:val="00E54D7F"/>
    <w:rsid w:val="00E60C23"/>
    <w:rsid w:val="00E62128"/>
    <w:rsid w:val="00E659AB"/>
    <w:rsid w:val="00E66AEC"/>
    <w:rsid w:val="00E702DB"/>
    <w:rsid w:val="00E733BA"/>
    <w:rsid w:val="00E84559"/>
    <w:rsid w:val="00EA0020"/>
    <w:rsid w:val="00EA0A5D"/>
    <w:rsid w:val="00EA3B72"/>
    <w:rsid w:val="00EC07C4"/>
    <w:rsid w:val="00EC6E55"/>
    <w:rsid w:val="00ED0246"/>
    <w:rsid w:val="00ED4ACB"/>
    <w:rsid w:val="00EE1375"/>
    <w:rsid w:val="00EE17F9"/>
    <w:rsid w:val="00EE2CD8"/>
    <w:rsid w:val="00EE5B46"/>
    <w:rsid w:val="00EE7338"/>
    <w:rsid w:val="00EF16ED"/>
    <w:rsid w:val="00EF449F"/>
    <w:rsid w:val="00F15A00"/>
    <w:rsid w:val="00F22B1A"/>
    <w:rsid w:val="00F255E2"/>
    <w:rsid w:val="00F31A40"/>
    <w:rsid w:val="00F32D99"/>
    <w:rsid w:val="00F36748"/>
    <w:rsid w:val="00F37B01"/>
    <w:rsid w:val="00F579C4"/>
    <w:rsid w:val="00F61559"/>
    <w:rsid w:val="00F64068"/>
    <w:rsid w:val="00F713CA"/>
    <w:rsid w:val="00F719EA"/>
    <w:rsid w:val="00F732E8"/>
    <w:rsid w:val="00F73684"/>
    <w:rsid w:val="00F81234"/>
    <w:rsid w:val="00F8458B"/>
    <w:rsid w:val="00F84DC7"/>
    <w:rsid w:val="00F85C2A"/>
    <w:rsid w:val="00F8690B"/>
    <w:rsid w:val="00F91E1E"/>
    <w:rsid w:val="00FA233B"/>
    <w:rsid w:val="00FA3002"/>
    <w:rsid w:val="00FA4C22"/>
    <w:rsid w:val="00FA705E"/>
    <w:rsid w:val="00FB0A7E"/>
    <w:rsid w:val="00FB52FF"/>
    <w:rsid w:val="00FB6A94"/>
    <w:rsid w:val="00FB7086"/>
    <w:rsid w:val="00FC4C61"/>
    <w:rsid w:val="00FD3D41"/>
    <w:rsid w:val="00FF43C5"/>
    <w:rsid w:val="00FF4456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3BC244F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  <w:style w:type="paragraph" w:styleId="af">
    <w:name w:val="List Paragraph"/>
    <w:basedOn w:val="a"/>
    <w:uiPriority w:val="34"/>
    <w:qFormat/>
    <w:rsid w:val="00156399"/>
    <w:pPr>
      <w:ind w:left="720"/>
      <w:contextualSpacing/>
    </w:pPr>
  </w:style>
  <w:style w:type="table" w:styleId="3-1">
    <w:name w:val="Medium Grid 3 Accent 1"/>
    <w:basedOn w:val="a1"/>
    <w:uiPriority w:val="69"/>
    <w:rsid w:val="002F4BA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4">
    <w:name w:val="Medium Shading 1 Accent 4"/>
    <w:basedOn w:val="a1"/>
    <w:uiPriority w:val="63"/>
    <w:rsid w:val="000F6C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C659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Grid Accent 6"/>
    <w:basedOn w:val="a1"/>
    <w:uiPriority w:val="62"/>
    <w:rsid w:val="00372E8C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0">
    <w:name w:val="Table Grid"/>
    <w:basedOn w:val="a1"/>
    <w:uiPriority w:val="59"/>
    <w:rsid w:val="003C77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445494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9249CF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5">
    <w:name w:val="Light Grid Accent 5"/>
    <w:basedOn w:val="a1"/>
    <w:uiPriority w:val="62"/>
    <w:rsid w:val="0075576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A26E6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FDE6-BDAA-46DB-8E72-1117816B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5</cp:revision>
  <cp:lastPrinted>2013-11-15T12:26:00Z</cp:lastPrinted>
  <dcterms:created xsi:type="dcterms:W3CDTF">2019-04-19T07:23:00Z</dcterms:created>
  <dcterms:modified xsi:type="dcterms:W3CDTF">2019-04-19T07:51:00Z</dcterms:modified>
</cp:coreProperties>
</file>